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1. Функциями регионального оператора являются:</w:t>
      </w:r>
    </w:p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  <w:proofErr w:type="gramEnd"/>
    </w:p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5)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E20F74" w:rsidRPr="00E20F74" w:rsidRDefault="00E20F74" w:rsidP="00E20F7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0F74">
        <w:rPr>
          <w:rFonts w:ascii="Verdana" w:eastAsia="Times New Roman" w:hAnsi="Verdana" w:cs="Times New Roman"/>
          <w:sz w:val="21"/>
          <w:szCs w:val="21"/>
          <w:lang w:eastAsia="ru-RU"/>
        </w:rPr>
        <w:t>6) иные предусмотренные настоящим Кодексом, законом субъекта Российской Федерации и учредительными документами регионального оператора функции.</w:t>
      </w:r>
    </w:p>
    <w:p w:rsidR="000F1227" w:rsidRDefault="000F1227">
      <w:bookmarkStart w:id="0" w:name="_GoBack"/>
      <w:bookmarkEnd w:id="0"/>
    </w:p>
    <w:sectPr w:rsidR="000F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4"/>
    <w:rsid w:val="000F1227"/>
    <w:rsid w:val="00E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2016-08-22T14:35:00Z</dcterms:created>
  <dcterms:modified xsi:type="dcterms:W3CDTF">2016-08-22T14:36:00Z</dcterms:modified>
</cp:coreProperties>
</file>